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3CA1F" w14:textId="2C93063A" w:rsidR="004A563B" w:rsidRDefault="004A563B" w:rsidP="000A48D9">
      <w:pPr>
        <w:pStyle w:val="Header"/>
        <w:tabs>
          <w:tab w:val="clear" w:pos="8504"/>
          <w:tab w:val="right" w:pos="9360"/>
        </w:tabs>
        <w:spacing w:before="120"/>
        <w:ind w:right="-58"/>
        <w:rPr>
          <w:rFonts w:ascii="Arial" w:eastAsia="MS Mincho" w:hAnsi="Arial" w:cs="Arial"/>
          <w:b/>
          <w:bCs/>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r>
      <w:r w:rsidRPr="004A563B">
        <w:rPr>
          <w:rFonts w:ascii="Arial" w:eastAsia="MS Mincho" w:hAnsi="Arial" w:cs="Arial"/>
          <w:b/>
          <w:bCs/>
          <w:sz w:val="28"/>
          <w:lang w:eastAsia="ja-JP"/>
        </w:rPr>
        <w:t>R1-16444</w:t>
      </w:r>
      <w:r w:rsidR="00EC210E">
        <w:rPr>
          <w:rFonts w:ascii="Arial" w:eastAsia="MS Mincho" w:hAnsi="Arial" w:cs="Arial"/>
          <w:b/>
          <w:bCs/>
          <w:sz w:val="28"/>
          <w:lang w:eastAsia="ja-JP"/>
        </w:rPr>
        <w:t>5</w:t>
      </w:r>
    </w:p>
    <w:p w14:paraId="70BE09DC" w14:textId="77777777" w:rsidR="004A563B" w:rsidRDefault="004A563B" w:rsidP="004A563B">
      <w:pPr>
        <w:pStyle w:val="Header"/>
        <w:tabs>
          <w:tab w:val="right" w:pos="8280"/>
          <w:tab w:val="right" w:pos="9781"/>
        </w:tabs>
        <w:spacing w:before="120"/>
        <w:ind w:right="-58"/>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10C50F3"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6B7FEC" w:rsidRPr="006B7FEC">
        <w:rPr>
          <w:rFonts w:ascii="Arial" w:hAnsi="Arial" w:cs="Arial"/>
          <w:snapToGrid w:val="0"/>
          <w:sz w:val="24"/>
        </w:rPr>
        <w:t>6.2.6.</w:t>
      </w:r>
      <w:r w:rsidR="00EC210E">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0F0BB9D9"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EC210E">
        <w:rPr>
          <w:rFonts w:ascii="Arial" w:hAnsi="Arial" w:cs="Arial"/>
          <w:snapToGrid w:val="0"/>
          <w:sz w:val="24"/>
        </w:rPr>
        <w:t>Support of Periodic and/or Aperiodic SRS</w:t>
      </w:r>
    </w:p>
    <w:p w14:paraId="5F8E100E" w14:textId="77777777" w:rsidR="002A2420"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08D1D67F" w14:textId="77777777" w:rsidR="006B7FEC" w:rsidRPr="000F29F8" w:rsidRDefault="006B7FEC" w:rsidP="002A2420">
      <w:pPr>
        <w:pBdr>
          <w:bottom w:val="single" w:sz="12" w:space="1" w:color="auto"/>
        </w:pBdr>
        <w:wordWrap/>
        <w:spacing w:line="360" w:lineRule="auto"/>
        <w:ind w:left="708" w:hangingChars="295" w:hanging="708"/>
        <w:rPr>
          <w:rFonts w:ascii="Arial" w:hAnsi="Arial" w:cs="Arial"/>
          <w:snapToGrid w:val="0"/>
          <w:sz w:val="24"/>
        </w:rPr>
      </w:pP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FC44F1F"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w:t>
      </w:r>
      <w:r w:rsidR="00EC210E">
        <w:rPr>
          <w:rFonts w:ascii="Times New Roman"/>
          <w:snapToGrid w:val="0"/>
          <w:kern w:val="0"/>
          <w:sz w:val="22"/>
          <w:szCs w:val="22"/>
          <w:lang w:val="en-GB"/>
        </w:rPr>
        <w:t>PUSCH</w:t>
      </w:r>
      <w:r w:rsidR="00C412BA">
        <w:rPr>
          <w:rFonts w:ascii="Times New Roman"/>
          <w:snapToGrid w:val="0"/>
          <w:kern w:val="0"/>
          <w:sz w:val="22"/>
          <w:szCs w:val="22"/>
          <w:lang w:val="en-GB"/>
        </w:rPr>
        <w:t xml:space="preserve"> transmission. In this contribution we present our views on </w:t>
      </w:r>
      <w:r w:rsidR="00EC210E">
        <w:rPr>
          <w:rFonts w:ascii="Times New Roman"/>
          <w:snapToGrid w:val="0"/>
          <w:kern w:val="0"/>
          <w:sz w:val="22"/>
          <w:szCs w:val="22"/>
          <w:lang w:val="en-GB"/>
        </w:rPr>
        <w:t>support of periodic and/or aperiodic SRS.</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62F949A7" w14:textId="77777777" w:rsidR="006674CC" w:rsidRDefault="006674CC" w:rsidP="00597774">
      <w:pPr>
        <w:pStyle w:val="LGTdoc1"/>
        <w:spacing w:beforeLines="0" w:before="120" w:after="220" w:afterAutospacing="0"/>
        <w:rPr>
          <w:b w:val="0"/>
          <w:sz w:val="22"/>
          <w:szCs w:val="22"/>
        </w:rPr>
      </w:pPr>
    </w:p>
    <w:p w14:paraId="4D943F0A" w14:textId="77777777" w:rsidR="00EC210E" w:rsidRDefault="00EC210E" w:rsidP="00EC210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SRS configuration and triggering</w:t>
      </w:r>
    </w:p>
    <w:p w14:paraId="5EE3A058" w14:textId="77777777" w:rsidR="00126E5F" w:rsidRDefault="00EC210E" w:rsidP="00EC210E">
      <w:pPr>
        <w:pStyle w:val="LGTdoc1"/>
        <w:spacing w:beforeLines="0" w:before="120" w:after="220" w:afterAutospacing="0"/>
        <w:rPr>
          <w:b w:val="0"/>
          <w:sz w:val="22"/>
          <w:szCs w:val="22"/>
        </w:rPr>
      </w:pPr>
      <w:r>
        <w:rPr>
          <w:b w:val="0"/>
          <w:sz w:val="22"/>
          <w:szCs w:val="22"/>
        </w:rPr>
        <w:t xml:space="preserve">Both aperiodic and periodic SRS transmission are supported in current LTE. These mechanisms should be extended to SRS carrier based switching. Periodic SRS can be easily supported by issuing the corresponding RRC command for the target CC. Aperiodic SRS may require some additional changes to support triggering of SRS on non-paired CC. </w:t>
      </w:r>
    </w:p>
    <w:p w14:paraId="758DF48E" w14:textId="67BD05B2" w:rsidR="00126E5F" w:rsidRPr="00860D5C" w:rsidRDefault="00126E5F" w:rsidP="00126E5F">
      <w:pPr>
        <w:pStyle w:val="LGTdoc1"/>
        <w:spacing w:beforeLines="0" w:before="120" w:after="220" w:afterAutospacing="0"/>
        <w:rPr>
          <w:sz w:val="22"/>
          <w:szCs w:val="22"/>
        </w:rPr>
      </w:pPr>
      <w:r>
        <w:rPr>
          <w:sz w:val="22"/>
          <w:szCs w:val="22"/>
          <w:u w:val="single"/>
        </w:rPr>
        <w:t>Proposal 1</w:t>
      </w:r>
      <w:r w:rsidRPr="00860D5C">
        <w:rPr>
          <w:sz w:val="22"/>
          <w:szCs w:val="22"/>
          <w:u w:val="single"/>
        </w:rPr>
        <w:t>:</w:t>
      </w:r>
      <w:r w:rsidRPr="00860D5C">
        <w:rPr>
          <w:sz w:val="22"/>
          <w:szCs w:val="22"/>
        </w:rPr>
        <w:t xml:space="preserve"> Support both periodic and aperiodic SRS</w:t>
      </w:r>
      <w:r>
        <w:rPr>
          <w:sz w:val="22"/>
          <w:szCs w:val="22"/>
        </w:rPr>
        <w:t xml:space="preserve"> transmission in CC with no PUSCH</w:t>
      </w:r>
      <w:r w:rsidRPr="00860D5C">
        <w:rPr>
          <w:sz w:val="22"/>
          <w:szCs w:val="22"/>
        </w:rPr>
        <w:t>.</w:t>
      </w:r>
    </w:p>
    <w:p w14:paraId="7663985B" w14:textId="5D8B2BC1" w:rsidR="00126E5F" w:rsidRDefault="00126E5F" w:rsidP="00EC210E">
      <w:pPr>
        <w:pStyle w:val="LGTdoc1"/>
        <w:spacing w:beforeLines="0" w:before="120" w:after="220" w:afterAutospacing="0"/>
        <w:rPr>
          <w:b w:val="0"/>
          <w:sz w:val="22"/>
          <w:szCs w:val="22"/>
        </w:rPr>
      </w:pPr>
      <w:r>
        <w:rPr>
          <w:b w:val="0"/>
          <w:sz w:val="22"/>
          <w:szCs w:val="22"/>
        </w:rPr>
        <w:t>There are different options to support SRS triggering:</w:t>
      </w:r>
    </w:p>
    <w:p w14:paraId="47331B32" w14:textId="71919BD1" w:rsidR="00126E5F" w:rsidRPr="00126E5F" w:rsidRDefault="00126E5F" w:rsidP="00126E5F">
      <w:pPr>
        <w:pStyle w:val="LGTdoc1"/>
        <w:numPr>
          <w:ilvl w:val="0"/>
          <w:numId w:val="47"/>
        </w:numPr>
        <w:spacing w:beforeLines="0" w:before="120" w:after="220" w:afterAutospacing="0"/>
        <w:rPr>
          <w:b w:val="0"/>
          <w:sz w:val="22"/>
          <w:szCs w:val="22"/>
        </w:rPr>
      </w:pPr>
      <w:r w:rsidRPr="00126E5F">
        <w:rPr>
          <w:b w:val="0"/>
          <w:sz w:val="22"/>
          <w:szCs w:val="22"/>
          <w:u w:val="single"/>
        </w:rPr>
        <w:t>Triggering by downlink grants:</w:t>
      </w:r>
      <w:r>
        <w:rPr>
          <w:b w:val="0"/>
          <w:sz w:val="22"/>
          <w:szCs w:val="22"/>
        </w:rPr>
        <w:t xml:space="preserve"> SRS triggered by downlink grants for a</w:t>
      </w:r>
      <w:r w:rsidR="00074078">
        <w:rPr>
          <w:b w:val="0"/>
          <w:sz w:val="22"/>
          <w:szCs w:val="22"/>
        </w:rPr>
        <w:t>n</w:t>
      </w:r>
      <w:r>
        <w:rPr>
          <w:b w:val="0"/>
          <w:sz w:val="22"/>
          <w:szCs w:val="22"/>
        </w:rPr>
        <w:t xml:space="preserve"> SRS-only CC requires minimum specification change, as the UE is already monitoring downlink grants for this CC and SRS triggering is already supported in some of the existing DCI formats, i.e., DCI formats </w:t>
      </w:r>
      <w:r w:rsidRPr="00533662">
        <w:rPr>
          <w:b w:val="0"/>
          <w:sz w:val="22"/>
          <w:szCs w:val="22"/>
          <w:lang w:val="en-US"/>
        </w:rPr>
        <w:t xml:space="preserve">1A, 2B, 2C, </w:t>
      </w:r>
      <w:r>
        <w:rPr>
          <w:b w:val="0"/>
          <w:sz w:val="22"/>
          <w:szCs w:val="22"/>
          <w:lang w:val="en-US"/>
        </w:rPr>
        <w:t xml:space="preserve">and </w:t>
      </w:r>
      <w:r w:rsidRPr="00533662">
        <w:rPr>
          <w:b w:val="0"/>
          <w:sz w:val="22"/>
          <w:szCs w:val="22"/>
          <w:lang w:val="en-US"/>
        </w:rPr>
        <w:t>2D</w:t>
      </w:r>
      <w:r>
        <w:rPr>
          <w:b w:val="0"/>
          <w:sz w:val="22"/>
          <w:szCs w:val="22"/>
          <w:lang w:val="en-US"/>
        </w:rPr>
        <w:t>. For Rel-14, and for the purpose of SRS triggering in non-paired CC, the SRS trigger field can be added to all downlink grant formats.</w:t>
      </w:r>
      <w:r w:rsidR="00D911B5">
        <w:rPr>
          <w:b w:val="0"/>
          <w:sz w:val="22"/>
          <w:szCs w:val="22"/>
          <w:lang w:val="en-US"/>
        </w:rPr>
        <w:t xml:space="preserve"> Some additional flexibility can be considered, e.g. supporting different SRS resource sets for DCI 1A and the mode-specific DCI.</w:t>
      </w:r>
    </w:p>
    <w:p w14:paraId="19357703" w14:textId="6A998333" w:rsidR="00126E5F" w:rsidRDefault="00126E5F" w:rsidP="00126E5F">
      <w:pPr>
        <w:pStyle w:val="LGTdoc1"/>
        <w:numPr>
          <w:ilvl w:val="0"/>
          <w:numId w:val="47"/>
        </w:numPr>
        <w:spacing w:beforeLines="0" w:before="120" w:after="220" w:afterAutospacing="0"/>
        <w:rPr>
          <w:b w:val="0"/>
          <w:sz w:val="22"/>
          <w:szCs w:val="22"/>
        </w:rPr>
      </w:pPr>
      <w:r>
        <w:rPr>
          <w:b w:val="0"/>
          <w:sz w:val="22"/>
          <w:szCs w:val="22"/>
          <w:u w:val="single"/>
        </w:rPr>
        <w:t xml:space="preserve">Triggering by uplink grants: </w:t>
      </w:r>
      <w:r>
        <w:rPr>
          <w:b w:val="0"/>
          <w:sz w:val="22"/>
          <w:szCs w:val="22"/>
        </w:rPr>
        <w:t>Under current specification, the UE is not required to monitor uplink grants in a CC with no PUSCH transmission. For SR</w:t>
      </w:r>
      <w:r w:rsidR="00E10A52">
        <w:rPr>
          <w:b w:val="0"/>
          <w:sz w:val="22"/>
          <w:szCs w:val="22"/>
        </w:rPr>
        <w:t>S</w:t>
      </w:r>
      <w:r>
        <w:rPr>
          <w:b w:val="0"/>
          <w:sz w:val="22"/>
          <w:szCs w:val="22"/>
        </w:rPr>
        <w:t>-only carriers, the UE can monitor an uplink grant (e.g. DCI 0) but the interpretation of the fields may be different. As PUSCH transmission is not enabled, the MCS/resource allocation fields may be reserved. The power control command may still be used for SRS.</w:t>
      </w:r>
      <w:r w:rsidR="00D911B5">
        <w:rPr>
          <w:b w:val="0"/>
          <w:sz w:val="22"/>
          <w:szCs w:val="22"/>
        </w:rPr>
        <w:t xml:space="preserve"> Also, some of the fields can be redefined to support triggering of SRS in multiple CC</w:t>
      </w:r>
      <w:r w:rsidR="00E10A52">
        <w:rPr>
          <w:b w:val="0"/>
          <w:sz w:val="22"/>
          <w:szCs w:val="22"/>
        </w:rPr>
        <w:t>s</w:t>
      </w:r>
      <w:r w:rsidR="00D911B5">
        <w:rPr>
          <w:b w:val="0"/>
          <w:sz w:val="22"/>
          <w:szCs w:val="22"/>
        </w:rPr>
        <w:t>.</w:t>
      </w:r>
    </w:p>
    <w:p w14:paraId="649A9FF2" w14:textId="167B314A" w:rsidR="00126E5F" w:rsidRDefault="00126E5F" w:rsidP="00126E5F">
      <w:pPr>
        <w:pStyle w:val="LGTdoc1"/>
        <w:numPr>
          <w:ilvl w:val="0"/>
          <w:numId w:val="47"/>
        </w:numPr>
        <w:spacing w:beforeLines="0" w:before="120" w:after="220" w:afterAutospacing="0"/>
        <w:rPr>
          <w:b w:val="0"/>
          <w:sz w:val="22"/>
          <w:szCs w:val="22"/>
        </w:rPr>
      </w:pPr>
      <w:r>
        <w:rPr>
          <w:b w:val="0"/>
          <w:sz w:val="22"/>
          <w:szCs w:val="22"/>
          <w:u w:val="single"/>
        </w:rPr>
        <w:t xml:space="preserve">Triggering by group DCI: </w:t>
      </w:r>
      <w:r>
        <w:rPr>
          <w:b w:val="0"/>
          <w:sz w:val="22"/>
          <w:szCs w:val="22"/>
        </w:rPr>
        <w:t>A problem of triggering with uplink grants is the large overhead of transmitting an entire DCI to a single UE. Similarly to group power control commands (3/3A), a new DCI format can be introduced to simultaneously trigger SRS for multiple UEs. Some additional information (e.g. power control, SRS resource) can be provided in this group grant.</w:t>
      </w:r>
    </w:p>
    <w:p w14:paraId="6AFDD5BB" w14:textId="2CC212E8" w:rsidR="00126E5F" w:rsidRDefault="00126E5F" w:rsidP="00126E5F">
      <w:pPr>
        <w:pStyle w:val="LGTdoc1"/>
        <w:spacing w:beforeLines="0" w:before="120" w:after="220" w:afterAutospacing="0"/>
        <w:rPr>
          <w:b w:val="0"/>
          <w:sz w:val="22"/>
          <w:szCs w:val="22"/>
        </w:rPr>
      </w:pPr>
      <w:r>
        <w:rPr>
          <w:b w:val="0"/>
          <w:sz w:val="22"/>
          <w:szCs w:val="22"/>
        </w:rPr>
        <w:t xml:space="preserve">These DCI may be transmitted over the SRS </w:t>
      </w:r>
      <w:proofErr w:type="spellStart"/>
      <w:r>
        <w:rPr>
          <w:b w:val="0"/>
          <w:sz w:val="22"/>
          <w:szCs w:val="22"/>
        </w:rPr>
        <w:t>SCell</w:t>
      </w:r>
      <w:proofErr w:type="spellEnd"/>
      <w:r>
        <w:rPr>
          <w:b w:val="0"/>
          <w:sz w:val="22"/>
          <w:szCs w:val="22"/>
        </w:rPr>
        <w:t xml:space="preserve"> or in a different carrier.</w:t>
      </w:r>
    </w:p>
    <w:p w14:paraId="238065FB" w14:textId="77777777" w:rsidR="00D911B5" w:rsidRDefault="00D911B5" w:rsidP="00126E5F">
      <w:pPr>
        <w:pStyle w:val="LGTdoc1"/>
        <w:spacing w:beforeLines="0" w:before="120" w:after="220" w:afterAutospacing="0"/>
        <w:rPr>
          <w:b w:val="0"/>
          <w:sz w:val="22"/>
          <w:szCs w:val="22"/>
        </w:rPr>
      </w:pPr>
    </w:p>
    <w:p w14:paraId="0FD507E2" w14:textId="77777777" w:rsidR="00D911B5" w:rsidRDefault="00D911B5" w:rsidP="00126E5F">
      <w:pPr>
        <w:pStyle w:val="LGTdoc1"/>
        <w:spacing w:beforeLines="0" w:before="120" w:after="220" w:afterAutospacing="0"/>
        <w:rPr>
          <w:b w:val="0"/>
          <w:sz w:val="22"/>
          <w:szCs w:val="22"/>
        </w:rPr>
      </w:pPr>
    </w:p>
    <w:p w14:paraId="2DE9DFE5" w14:textId="77777777" w:rsidR="00126E5F" w:rsidRDefault="00EC210E" w:rsidP="00EC210E">
      <w:pPr>
        <w:pStyle w:val="LGTdoc1"/>
        <w:spacing w:beforeLines="0" w:before="120" w:after="220" w:afterAutospacing="0"/>
        <w:rPr>
          <w:sz w:val="22"/>
          <w:szCs w:val="22"/>
        </w:rPr>
      </w:pPr>
      <w:r>
        <w:rPr>
          <w:sz w:val="22"/>
          <w:szCs w:val="22"/>
          <w:u w:val="single"/>
        </w:rPr>
        <w:lastRenderedPageBreak/>
        <w:t>Proposal 2</w:t>
      </w:r>
      <w:r w:rsidRPr="00860D5C">
        <w:rPr>
          <w:sz w:val="22"/>
          <w:szCs w:val="22"/>
          <w:u w:val="single"/>
        </w:rPr>
        <w:t>:</w:t>
      </w:r>
      <w:r w:rsidR="00126E5F">
        <w:rPr>
          <w:sz w:val="22"/>
          <w:szCs w:val="22"/>
        </w:rPr>
        <w:t xml:space="preserve"> Aperiodic SRS is triggered by some of the following:</w:t>
      </w:r>
    </w:p>
    <w:p w14:paraId="71589407" w14:textId="353FA6DC" w:rsidR="00EC210E" w:rsidRDefault="00126E5F" w:rsidP="00126E5F">
      <w:pPr>
        <w:pStyle w:val="LGTdoc1"/>
        <w:numPr>
          <w:ilvl w:val="0"/>
          <w:numId w:val="48"/>
        </w:numPr>
        <w:spacing w:beforeLines="0" w:before="120" w:after="220" w:afterAutospacing="0"/>
        <w:rPr>
          <w:sz w:val="22"/>
          <w:szCs w:val="22"/>
        </w:rPr>
      </w:pPr>
      <w:r>
        <w:rPr>
          <w:sz w:val="22"/>
          <w:szCs w:val="22"/>
        </w:rPr>
        <w:t>Downlink grant</w:t>
      </w:r>
    </w:p>
    <w:p w14:paraId="123FD0F3" w14:textId="6ECC6877" w:rsidR="00126E5F" w:rsidRDefault="00126E5F" w:rsidP="00126E5F">
      <w:pPr>
        <w:pStyle w:val="LGTdoc1"/>
        <w:numPr>
          <w:ilvl w:val="0"/>
          <w:numId w:val="48"/>
        </w:numPr>
        <w:spacing w:beforeLines="0" w:before="120" w:after="220" w:afterAutospacing="0"/>
        <w:rPr>
          <w:sz w:val="22"/>
          <w:szCs w:val="22"/>
        </w:rPr>
      </w:pPr>
      <w:r>
        <w:rPr>
          <w:sz w:val="22"/>
          <w:szCs w:val="22"/>
        </w:rPr>
        <w:t>Uplink grant</w:t>
      </w:r>
    </w:p>
    <w:p w14:paraId="65F122AE" w14:textId="32D095B7" w:rsidR="00126E5F" w:rsidRPr="00860D5C" w:rsidRDefault="00126E5F" w:rsidP="00126E5F">
      <w:pPr>
        <w:pStyle w:val="LGTdoc1"/>
        <w:numPr>
          <w:ilvl w:val="0"/>
          <w:numId w:val="48"/>
        </w:numPr>
        <w:spacing w:beforeLines="0" w:before="120" w:after="220" w:afterAutospacing="0"/>
        <w:rPr>
          <w:sz w:val="22"/>
          <w:szCs w:val="22"/>
        </w:rPr>
      </w:pPr>
      <w:r>
        <w:rPr>
          <w:sz w:val="22"/>
          <w:szCs w:val="22"/>
        </w:rPr>
        <w:t>Group trigger grant</w:t>
      </w:r>
    </w:p>
    <w:p w14:paraId="6E33B9BD" w14:textId="1C7702DA" w:rsidR="00EC210E" w:rsidRPr="00860D5C" w:rsidRDefault="00EC210E" w:rsidP="00EC210E">
      <w:pPr>
        <w:pStyle w:val="LGTdoc1"/>
        <w:spacing w:beforeLines="0" w:before="120" w:after="220" w:afterAutospacing="0"/>
        <w:rPr>
          <w:sz w:val="22"/>
          <w:szCs w:val="22"/>
        </w:rPr>
      </w:pPr>
      <w:r w:rsidRPr="00860D5C">
        <w:rPr>
          <w:sz w:val="22"/>
          <w:szCs w:val="22"/>
          <w:u w:val="single"/>
        </w:rPr>
        <w:t xml:space="preserve">Proposal </w:t>
      </w:r>
      <w:r>
        <w:rPr>
          <w:sz w:val="22"/>
          <w:szCs w:val="22"/>
          <w:u w:val="single"/>
        </w:rPr>
        <w:t>3</w:t>
      </w:r>
      <w:r w:rsidRPr="00860D5C">
        <w:rPr>
          <w:sz w:val="22"/>
          <w:szCs w:val="22"/>
          <w:u w:val="single"/>
        </w:rPr>
        <w:t>:</w:t>
      </w:r>
      <w:r w:rsidRPr="00860D5C">
        <w:rPr>
          <w:sz w:val="22"/>
          <w:szCs w:val="22"/>
        </w:rPr>
        <w:t xml:space="preserve"> Support same-carrier and cross-carrier SRS triggers.</w:t>
      </w:r>
    </w:p>
    <w:p w14:paraId="152ADFE2" w14:textId="77777777" w:rsidR="00C412BA" w:rsidRDefault="00C412BA" w:rsidP="00C412BA">
      <w:pPr>
        <w:pStyle w:val="LGTdoc1"/>
        <w:spacing w:beforeLines="0" w:before="120" w:after="220" w:afterAutospacing="0"/>
        <w:rPr>
          <w:rFonts w:ascii="Arial" w:hAnsi="Arial" w:cs="Arial"/>
        </w:rPr>
      </w:pPr>
    </w:p>
    <w:p w14:paraId="7CBFBBDD" w14:textId="77777777" w:rsidR="00126E5F" w:rsidRDefault="00126E5F" w:rsidP="00126E5F">
      <w:pPr>
        <w:pStyle w:val="LGTdoc1"/>
        <w:spacing w:beforeLines="0" w:before="120" w:after="220" w:afterAutospacing="0"/>
        <w:rPr>
          <w:b w:val="0"/>
          <w:sz w:val="22"/>
          <w:szCs w:val="22"/>
        </w:rPr>
      </w:pPr>
    </w:p>
    <w:p w14:paraId="62970013" w14:textId="715512BE" w:rsidR="00126E5F" w:rsidRDefault="00126E5F" w:rsidP="00126E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5F78DCF" w14:textId="77777777" w:rsidR="00126E5F" w:rsidRPr="00860D5C" w:rsidRDefault="00126E5F" w:rsidP="00126E5F">
      <w:pPr>
        <w:pStyle w:val="LGTdoc1"/>
        <w:spacing w:beforeLines="0" w:before="120" w:after="220" w:afterAutospacing="0"/>
        <w:rPr>
          <w:sz w:val="22"/>
          <w:szCs w:val="22"/>
        </w:rPr>
      </w:pPr>
      <w:r>
        <w:rPr>
          <w:sz w:val="22"/>
          <w:szCs w:val="22"/>
          <w:u w:val="single"/>
        </w:rPr>
        <w:t>Proposal 1</w:t>
      </w:r>
      <w:r w:rsidRPr="00860D5C">
        <w:rPr>
          <w:sz w:val="22"/>
          <w:szCs w:val="22"/>
          <w:u w:val="single"/>
        </w:rPr>
        <w:t>:</w:t>
      </w:r>
      <w:r w:rsidRPr="00860D5C">
        <w:rPr>
          <w:sz w:val="22"/>
          <w:szCs w:val="22"/>
        </w:rPr>
        <w:t xml:space="preserve"> Support both periodic and aperiodic SRS</w:t>
      </w:r>
      <w:r>
        <w:rPr>
          <w:sz w:val="22"/>
          <w:szCs w:val="22"/>
        </w:rPr>
        <w:t xml:space="preserve"> transmission in CC with no PUSCH</w:t>
      </w:r>
      <w:r w:rsidRPr="00860D5C">
        <w:rPr>
          <w:sz w:val="22"/>
          <w:szCs w:val="22"/>
        </w:rPr>
        <w:t>.</w:t>
      </w:r>
    </w:p>
    <w:p w14:paraId="6FCC1AF8" w14:textId="77777777" w:rsidR="00126E5F" w:rsidRDefault="00126E5F" w:rsidP="00126E5F">
      <w:pPr>
        <w:pStyle w:val="LGTdoc1"/>
        <w:spacing w:beforeLines="0" w:before="120" w:after="220" w:afterAutospacing="0"/>
        <w:rPr>
          <w:sz w:val="22"/>
          <w:szCs w:val="22"/>
        </w:rPr>
      </w:pPr>
      <w:r>
        <w:rPr>
          <w:sz w:val="22"/>
          <w:szCs w:val="22"/>
          <w:u w:val="single"/>
        </w:rPr>
        <w:t>Proposal 2</w:t>
      </w:r>
      <w:r w:rsidRPr="00860D5C">
        <w:rPr>
          <w:sz w:val="22"/>
          <w:szCs w:val="22"/>
          <w:u w:val="single"/>
        </w:rPr>
        <w:t>:</w:t>
      </w:r>
      <w:r>
        <w:rPr>
          <w:sz w:val="22"/>
          <w:szCs w:val="22"/>
        </w:rPr>
        <w:t xml:space="preserve"> Aperiodic SRS is triggered by some of the following:</w:t>
      </w:r>
    </w:p>
    <w:p w14:paraId="04338778" w14:textId="77777777" w:rsidR="00126E5F" w:rsidRDefault="00126E5F" w:rsidP="00126E5F">
      <w:pPr>
        <w:pStyle w:val="LGTdoc1"/>
        <w:numPr>
          <w:ilvl w:val="0"/>
          <w:numId w:val="48"/>
        </w:numPr>
        <w:spacing w:beforeLines="0" w:before="120" w:after="220" w:afterAutospacing="0"/>
        <w:rPr>
          <w:sz w:val="22"/>
          <w:szCs w:val="22"/>
        </w:rPr>
      </w:pPr>
      <w:r>
        <w:rPr>
          <w:sz w:val="22"/>
          <w:szCs w:val="22"/>
        </w:rPr>
        <w:t>Downlink grant</w:t>
      </w:r>
    </w:p>
    <w:p w14:paraId="47E0C54F" w14:textId="77777777" w:rsidR="00126E5F" w:rsidRDefault="00126E5F" w:rsidP="00126E5F">
      <w:pPr>
        <w:pStyle w:val="LGTdoc1"/>
        <w:numPr>
          <w:ilvl w:val="0"/>
          <w:numId w:val="48"/>
        </w:numPr>
        <w:spacing w:beforeLines="0" w:before="120" w:after="220" w:afterAutospacing="0"/>
        <w:rPr>
          <w:sz w:val="22"/>
          <w:szCs w:val="22"/>
        </w:rPr>
      </w:pPr>
      <w:r>
        <w:rPr>
          <w:sz w:val="22"/>
          <w:szCs w:val="22"/>
        </w:rPr>
        <w:t>Uplink grant</w:t>
      </w:r>
    </w:p>
    <w:p w14:paraId="14FE42D1" w14:textId="77777777" w:rsidR="00126E5F" w:rsidRPr="00860D5C" w:rsidRDefault="00126E5F" w:rsidP="00126E5F">
      <w:pPr>
        <w:pStyle w:val="LGTdoc1"/>
        <w:numPr>
          <w:ilvl w:val="0"/>
          <w:numId w:val="48"/>
        </w:numPr>
        <w:spacing w:beforeLines="0" w:before="120" w:after="220" w:afterAutospacing="0"/>
        <w:rPr>
          <w:sz w:val="22"/>
          <w:szCs w:val="22"/>
        </w:rPr>
      </w:pPr>
      <w:r>
        <w:rPr>
          <w:sz w:val="22"/>
          <w:szCs w:val="22"/>
        </w:rPr>
        <w:t>Group trigger grant</w:t>
      </w:r>
    </w:p>
    <w:p w14:paraId="7955FA9A" w14:textId="77777777" w:rsidR="00126E5F" w:rsidRPr="00860D5C" w:rsidRDefault="00126E5F" w:rsidP="00126E5F">
      <w:pPr>
        <w:pStyle w:val="LGTdoc1"/>
        <w:spacing w:beforeLines="0" w:before="120" w:after="220" w:afterAutospacing="0"/>
        <w:rPr>
          <w:sz w:val="22"/>
          <w:szCs w:val="22"/>
        </w:rPr>
      </w:pPr>
      <w:r w:rsidRPr="00860D5C">
        <w:rPr>
          <w:sz w:val="22"/>
          <w:szCs w:val="22"/>
          <w:u w:val="single"/>
        </w:rPr>
        <w:t xml:space="preserve">Proposal </w:t>
      </w:r>
      <w:r>
        <w:rPr>
          <w:sz w:val="22"/>
          <w:szCs w:val="22"/>
          <w:u w:val="single"/>
        </w:rPr>
        <w:t>3</w:t>
      </w:r>
      <w:r w:rsidRPr="00860D5C">
        <w:rPr>
          <w:sz w:val="22"/>
          <w:szCs w:val="22"/>
          <w:u w:val="single"/>
        </w:rPr>
        <w:t>:</w:t>
      </w:r>
      <w:r w:rsidRPr="00860D5C">
        <w:rPr>
          <w:sz w:val="22"/>
          <w:szCs w:val="22"/>
        </w:rPr>
        <w:t xml:space="preserve"> Support same-carrier and cross-carrier SRS triggers.</w:t>
      </w:r>
    </w:p>
    <w:p w14:paraId="3D017A5B" w14:textId="77777777" w:rsidR="00126E5F" w:rsidRPr="002A4184" w:rsidRDefault="00126E5F" w:rsidP="00C412BA">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747ADFE6" w:rsidR="00111B9A" w:rsidRPr="006674CC"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w:t>
      </w:r>
      <w:proofErr w:type="spellStart"/>
      <w:r w:rsidR="00C412BA">
        <w:rPr>
          <w:b w:val="0"/>
          <w:sz w:val="22"/>
          <w:szCs w:val="22"/>
        </w:rPr>
        <w:t>HiSilicon</w:t>
      </w:r>
      <w:proofErr w:type="spellEnd"/>
      <w:r w:rsidR="00C412BA">
        <w:rPr>
          <w:b w:val="0"/>
          <w:sz w:val="22"/>
          <w:szCs w:val="22"/>
        </w:rPr>
        <w:t>;</w:t>
      </w:r>
      <w:r w:rsidR="000A48D9">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bookmarkStart w:id="2" w:name="_GoBack"/>
      <w:bookmarkEnd w:id="2"/>
    </w:p>
    <w:sectPr w:rsidR="00111B9A" w:rsidRPr="006674CC"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6DF29" w14:textId="77777777" w:rsidR="0006245C" w:rsidRDefault="0006245C">
      <w:r>
        <w:separator/>
      </w:r>
    </w:p>
  </w:endnote>
  <w:endnote w:type="continuationSeparator" w:id="0">
    <w:p w14:paraId="03E457C2" w14:textId="77777777" w:rsidR="0006245C" w:rsidRDefault="0006245C">
      <w:r>
        <w:continuationSeparator/>
      </w:r>
    </w:p>
  </w:endnote>
  <w:endnote w:type="continuationNotice" w:id="1">
    <w:p w14:paraId="351CE4F9" w14:textId="77777777" w:rsidR="0006245C" w:rsidRDefault="00062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A48D9">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6D5FB" w14:textId="77777777" w:rsidR="0006245C" w:rsidRDefault="0006245C">
      <w:r>
        <w:separator/>
      </w:r>
    </w:p>
  </w:footnote>
  <w:footnote w:type="continuationSeparator" w:id="0">
    <w:p w14:paraId="2514223C" w14:textId="77777777" w:rsidR="0006245C" w:rsidRDefault="0006245C">
      <w:r>
        <w:continuationSeparator/>
      </w:r>
    </w:p>
  </w:footnote>
  <w:footnote w:type="continuationNotice" w:id="1">
    <w:p w14:paraId="048B928F" w14:textId="77777777" w:rsidR="0006245C" w:rsidRDefault="000624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3E50"/>
    <w:multiLevelType w:val="hybridMultilevel"/>
    <w:tmpl w:val="7414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6" w15:restartNumberingAfterBreak="0">
    <w:nsid w:val="47FC51CE"/>
    <w:multiLevelType w:val="hybridMultilevel"/>
    <w:tmpl w:val="60AAC680"/>
    <w:lvl w:ilvl="0" w:tplc="5D24B14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6F94D89"/>
    <w:multiLevelType w:val="hybridMultilevel"/>
    <w:tmpl w:val="B38CB138"/>
    <w:lvl w:ilvl="0" w:tplc="D4A2ED64">
      <w:start w:val="1"/>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7"/>
  </w:num>
  <w:num w:numId="3">
    <w:abstractNumId w:val="30"/>
  </w:num>
  <w:num w:numId="4">
    <w:abstractNumId w:val="46"/>
  </w:num>
  <w:num w:numId="5">
    <w:abstractNumId w:val="47"/>
  </w:num>
  <w:num w:numId="6">
    <w:abstractNumId w:val="36"/>
  </w:num>
  <w:num w:numId="7">
    <w:abstractNumId w:val="10"/>
  </w:num>
  <w:num w:numId="8">
    <w:abstractNumId w:val="2"/>
  </w:num>
  <w:num w:numId="9">
    <w:abstractNumId w:val="38"/>
  </w:num>
  <w:num w:numId="10">
    <w:abstractNumId w:val="23"/>
  </w:num>
  <w:num w:numId="11">
    <w:abstractNumId w:val="28"/>
  </w:num>
  <w:num w:numId="12">
    <w:abstractNumId w:val="9"/>
  </w:num>
  <w:num w:numId="13">
    <w:abstractNumId w:val="41"/>
  </w:num>
  <w:num w:numId="14">
    <w:abstractNumId w:val="29"/>
  </w:num>
  <w:num w:numId="15">
    <w:abstractNumId w:val="21"/>
  </w:num>
  <w:num w:numId="16">
    <w:abstractNumId w:val="39"/>
  </w:num>
  <w:num w:numId="17">
    <w:abstractNumId w:val="34"/>
  </w:num>
  <w:num w:numId="18">
    <w:abstractNumId w:val="27"/>
  </w:num>
  <w:num w:numId="19">
    <w:abstractNumId w:val="14"/>
  </w:num>
  <w:num w:numId="20">
    <w:abstractNumId w:val="16"/>
  </w:num>
  <w:num w:numId="21">
    <w:abstractNumId w:val="35"/>
  </w:num>
  <w:num w:numId="22">
    <w:abstractNumId w:val="3"/>
  </w:num>
  <w:num w:numId="23">
    <w:abstractNumId w:val="25"/>
  </w:num>
  <w:num w:numId="24">
    <w:abstractNumId w:val="32"/>
  </w:num>
  <w:num w:numId="25">
    <w:abstractNumId w:val="37"/>
  </w:num>
  <w:num w:numId="26">
    <w:abstractNumId w:val="8"/>
  </w:num>
  <w:num w:numId="27">
    <w:abstractNumId w:val="1"/>
  </w:num>
  <w:num w:numId="28">
    <w:abstractNumId w:val="40"/>
  </w:num>
  <w:num w:numId="29">
    <w:abstractNumId w:val="7"/>
  </w:num>
  <w:num w:numId="30">
    <w:abstractNumId w:val="42"/>
  </w:num>
  <w:num w:numId="31">
    <w:abstractNumId w:val="6"/>
  </w:num>
  <w:num w:numId="32">
    <w:abstractNumId w:val="24"/>
  </w:num>
  <w:num w:numId="33">
    <w:abstractNumId w:val="20"/>
  </w:num>
  <w:num w:numId="34">
    <w:abstractNumId w:val="44"/>
  </w:num>
  <w:num w:numId="35">
    <w:abstractNumId w:val="33"/>
  </w:num>
  <w:num w:numId="36">
    <w:abstractNumId w:val="18"/>
  </w:num>
  <w:num w:numId="37">
    <w:abstractNumId w:val="45"/>
  </w:num>
  <w:num w:numId="38">
    <w:abstractNumId w:val="22"/>
  </w:num>
  <w:num w:numId="39">
    <w:abstractNumId w:val="11"/>
  </w:num>
  <w:num w:numId="40">
    <w:abstractNumId w:val="13"/>
  </w:num>
  <w:num w:numId="41">
    <w:abstractNumId w:val="12"/>
  </w:num>
  <w:num w:numId="42">
    <w:abstractNumId w:val="4"/>
  </w:num>
  <w:num w:numId="43">
    <w:abstractNumId w:val="0"/>
  </w:num>
  <w:num w:numId="44">
    <w:abstractNumId w:val="43"/>
  </w:num>
  <w:num w:numId="45">
    <w:abstractNumId w:val="15"/>
  </w:num>
  <w:num w:numId="46">
    <w:abstractNumId w:val="26"/>
  </w:num>
  <w:num w:numId="47">
    <w:abstractNumId w:val="5"/>
  </w:num>
  <w:num w:numId="48">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45C"/>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8"/>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8D9"/>
    <w:rsid w:val="000A492B"/>
    <w:rsid w:val="000A4B87"/>
    <w:rsid w:val="000A556C"/>
    <w:rsid w:val="000A565E"/>
    <w:rsid w:val="000A58BF"/>
    <w:rsid w:val="000A5933"/>
    <w:rsid w:val="000A5A66"/>
    <w:rsid w:val="000A5DC7"/>
    <w:rsid w:val="000A6106"/>
    <w:rsid w:val="000A62EA"/>
    <w:rsid w:val="000A6D7E"/>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E5F"/>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AE"/>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D09"/>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B6"/>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D0E"/>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B7FEC"/>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505"/>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3980"/>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5FE0"/>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49C"/>
    <w:rsid w:val="00D879AF"/>
    <w:rsid w:val="00D90206"/>
    <w:rsid w:val="00D905CB"/>
    <w:rsid w:val="00D90999"/>
    <w:rsid w:val="00D90B03"/>
    <w:rsid w:val="00D90CFA"/>
    <w:rsid w:val="00D911B5"/>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A52"/>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0E"/>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89937502">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530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348670">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1320049">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68A32EA1-70BE-46D1-9430-1D232623610E}">
  <ds:schemaRefs>
    <ds:schemaRef ds:uri="http://schemas.openxmlformats.org/officeDocument/2006/bibliography"/>
  </ds:schemaRefs>
</ds:datastoreItem>
</file>

<file path=customXml/itemProps7.xml><?xml version="1.0" encoding="utf-8"?>
<ds:datastoreItem xmlns:ds="http://schemas.openxmlformats.org/officeDocument/2006/customXml" ds:itemID="{A3815AC6-1E8E-4F37-BB62-30572A23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6</cp:revision>
  <cp:lastPrinted>2010-08-13T21:54:00Z</cp:lastPrinted>
  <dcterms:created xsi:type="dcterms:W3CDTF">2016-05-12T16:09:00Z</dcterms:created>
  <dcterms:modified xsi:type="dcterms:W3CDTF">2016-05-14T03:17:00Z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-1103902504</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